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2A8133B" w14:textId="76B45319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S2-2306495</w:t>
      </w:r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8F2B5B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4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4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1B1FAE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517779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>, SA3,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7D700636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</w:t>
      </w:r>
      <w:r w:rsidR="00693F40">
        <w:rPr>
          <w:color w:val="000000" w:themeColor="text1"/>
        </w:rPr>
        <w:t xml:space="preserve">2 </w:t>
      </w:r>
      <w:r w:rsidRPr="00A5668D">
        <w:rPr>
          <w:color w:val="000000" w:themeColor="text1"/>
        </w:rPr>
        <w:t xml:space="preserve">and </w:t>
      </w:r>
      <w:r w:rsidR="00693F40">
        <w:rPr>
          <w:color w:val="000000" w:themeColor="text1"/>
        </w:rPr>
        <w:t xml:space="preserve"> </w:t>
      </w:r>
      <w:r w:rsidR="00693F40">
        <w:rPr>
          <w:color w:val="000000" w:themeColor="text1"/>
        </w:rPr>
        <w:t>627</w:t>
      </w:r>
      <w:r w:rsidR="00693F40">
        <w:rPr>
          <w:color w:val="000000" w:themeColor="text1"/>
        </w:rPr>
        <w:t xml:space="preserve">3 </w:t>
      </w:r>
      <w:r w:rsidRPr="00A5668D">
        <w:rPr>
          <w:color w:val="000000" w:themeColor="text1"/>
        </w:rPr>
        <w:t xml:space="preserve">and concluded that </w:t>
      </w:r>
      <w:r w:rsidR="00B525E8">
        <w:rPr>
          <w:color w:val="000000" w:themeColor="text1"/>
        </w:rPr>
        <w:t xml:space="preserve">use cases and service requirements need to be clarified by SA1 before work can be started in SA2. As soon as that is clarified the scope of the </w:t>
      </w:r>
      <w:r w:rsidRPr="00A5668D">
        <w:rPr>
          <w:color w:val="000000" w:themeColor="text1"/>
        </w:rPr>
        <w:t>potential</w:t>
      </w:r>
      <w:r w:rsidR="00B525E8">
        <w:rPr>
          <w:color w:val="000000" w:themeColor="text1"/>
        </w:rPr>
        <w:t xml:space="preserve"> Rel-19 RVAS study in SA2 could be extended to develop appropriate solutions</w:t>
      </w:r>
      <w:r w:rsidRPr="00A5668D">
        <w:rPr>
          <w:color w:val="000000" w:themeColor="text1"/>
        </w:rPr>
        <w:t xml:space="preserve">. 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5C25666D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10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 xml:space="preserve">Oct </w:t>
            </w: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 xml:space="preserve">09-13th, </w:t>
            </w: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10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</w:t>
        </w:r>
        <w:r>
          <w:rPr>
            <w:rStyle w:val="Hyperlink"/>
            <w:rFonts w:ascii="Arial" w:hAnsi="Arial" w:cs="Arial"/>
            <w:b/>
            <w:color w:val="000000" w:themeColor="text1"/>
          </w:rPr>
          <w:t>B</w:t>
        </w:r>
        <w:r>
          <w:rPr>
            <w:rStyle w:val="Hyperlink"/>
            <w:rFonts w:ascii="Arial" w:hAnsi="Arial" w:cs="Arial"/>
            <w:b/>
            <w:color w:val="000000" w:themeColor="text1"/>
          </w:rPr>
          <w:t>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C7644" w14:textId="77777777" w:rsidR="007136B5" w:rsidRDefault="007136B5">
      <w:pPr>
        <w:spacing w:after="0"/>
      </w:pPr>
      <w:r>
        <w:separator/>
      </w:r>
    </w:p>
  </w:endnote>
  <w:endnote w:type="continuationSeparator" w:id="0">
    <w:p w14:paraId="6F3DA066" w14:textId="77777777" w:rsidR="007136B5" w:rsidRDefault="007136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9918" w14:textId="77777777" w:rsidR="007136B5" w:rsidRDefault="007136B5">
      <w:pPr>
        <w:spacing w:after="0"/>
      </w:pPr>
      <w:r>
        <w:separator/>
      </w:r>
    </w:p>
  </w:footnote>
  <w:footnote w:type="continuationSeparator" w:id="0">
    <w:p w14:paraId="77CB5ADC" w14:textId="77777777" w:rsidR="007136B5" w:rsidRDefault="007136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5F0F52"/>
    <w:rsid w:val="00693F40"/>
    <w:rsid w:val="007136B5"/>
    <w:rsid w:val="007F4F92"/>
    <w:rsid w:val="0084734A"/>
    <w:rsid w:val="008D772F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92457"/>
    <w:rsid w:val="00CF6087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924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2</cp:revision>
  <cp:lastPrinted>2002-04-23T07:10:00Z</cp:lastPrinted>
  <dcterms:created xsi:type="dcterms:W3CDTF">2023-05-11T10:41:00Z</dcterms:created>
  <dcterms:modified xsi:type="dcterms:W3CDTF">2023-05-11T10:41:00Z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